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010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56"/>
          <w:szCs w:val="56"/>
          <w:rtl w:val="0"/>
        </w:rPr>
        <w:t xml:space="preserve">Коммерческое предложение на       Теплицы</w:t>
      </w: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  <w:rtl w:val="0"/>
        </w:rPr>
        <w:t xml:space="preserve">  от 11.04.2024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      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1320165</wp:posOffset>
            </wp:positionH>
            <wp:positionV relativeFrom="paragraph">
              <wp:posOffset>107950</wp:posOffset>
            </wp:positionV>
            <wp:extent cx="3124200" cy="19050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87"/>
        <w:tblW w:w="5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410"/>
        <w:tblGridChange w:id="0">
          <w:tblGrid>
            <w:gridCol w:w="2660"/>
            <w:gridCol w:w="2410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Эконом 20х20х1мм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Оптовые цены  (порошковое покрытие)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4м. (дуги через 1м.)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9 408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+2м. (дуги через 1м.)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Поликарбонат 6000х2100х4мм/6мм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2 360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4 460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 25х25х1,2мм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Оптовые цены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(порошковое покрытие)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4м. (дуги через 1м.)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10 238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+2м. (дуги через 1м.)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Поликарбонат 6000х2100х4мм/6мм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2 360р./4 460р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sz w:val="72"/>
          <w:szCs w:val="7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pPr w:leftFromText="180" w:rightFromText="180" w:topFromText="0" w:bottomFromText="0" w:vertAnchor="text" w:horzAnchor="text" w:tblpX="0" w:tblpY="187"/>
        <w:tblW w:w="50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2410"/>
        <w:tblGridChange w:id="0">
          <w:tblGrid>
            <w:gridCol w:w="2660"/>
            <w:gridCol w:w="2410"/>
          </w:tblGrid>
        </w:tblGridChange>
      </w:tblGrid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Люкс 25х25х1,2мм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bbb59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Оптовые цены (порошковое покрытие)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4м. (дуги через 0,67м.)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3 268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4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1293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+2м. (дуги через0,67м.)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4 670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Поликарбонат 6000х2100х4мм/6мм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2 360р./4 460р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397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